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40" w:lineRule="auto"/>
        <w:ind w:left="1440" w:firstLine="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Submission To: </w:t>
        <w:tab/>
        <w:tab/>
      </w:r>
      <w:r w:rsidDel="00000000" w:rsidR="00000000" w:rsidRPr="00000000">
        <w:rPr>
          <w:rFonts w:ascii="Times New Roman" w:cs="Times New Roman" w:eastAsia="Times New Roman" w:hAnsi="Times New Roman"/>
          <w:sz w:val="24"/>
          <w:szCs w:val="24"/>
          <w:highlight w:val="white"/>
          <w:rtl w:val="0"/>
        </w:rPr>
        <w:t xml:space="preserve">Standing Committee on Law and Justice </w:t>
      </w:r>
      <w:r w:rsidDel="00000000" w:rsidR="00000000" w:rsidRPr="00000000">
        <w:rPr>
          <w:rtl w:val="0"/>
        </w:rPr>
      </w:r>
    </w:p>
    <w:p w:rsidR="00000000" w:rsidDel="00000000" w:rsidP="00000000" w:rsidRDefault="00000000" w:rsidRPr="00000000" w14:paraId="00000004">
      <w:pPr>
        <w:spacing w:after="300" w:before="75"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Submission Regarding:</w:t>
        <w:tab/>
        <w:t xml:space="preserve">Road Transport Amendment (Medicinal Cannabis-Exemptions    </w:t>
        <w:tab/>
        <w:tab/>
        <w:tab/>
        <w:tab/>
        <w:t xml:space="preserve">from Offences) Bill 2021</w:t>
      </w:r>
    </w:p>
    <w:p w:rsidR="00000000" w:rsidDel="00000000" w:rsidP="00000000" w:rsidRDefault="00000000" w:rsidRPr="00000000" w14:paraId="00000005">
      <w:pPr>
        <w:spacing w:after="300" w:before="75"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Submission From: </w:t>
        <w:tab/>
        <w:tab/>
        <w:t xml:space="preserve">Cannabis Law Reform Alliance - </w:t>
      </w:r>
    </w:p>
    <w:p w:rsidR="00000000" w:rsidDel="00000000" w:rsidP="00000000" w:rsidRDefault="00000000" w:rsidRPr="00000000" w14:paraId="00000006">
      <w:pPr>
        <w:spacing w:after="300" w:before="75" w:line="240" w:lineRule="auto"/>
        <w:ind w:left="4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Heilpern, LLB LLM, Barrister and Solicitor of the High Court of Australia, Adjunct and Practice Professor, Southern Cross University Law School. Local Court Magistrate from 1999 to 2020. </w:t>
      </w:r>
    </w:p>
    <w:p w:rsidR="00000000" w:rsidDel="00000000" w:rsidP="00000000" w:rsidRDefault="00000000" w:rsidRPr="00000000" w14:paraId="00000007">
      <w:pPr>
        <w:spacing w:after="300" w:before="75"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300" w:before="75"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unequivocally support the Bill. </w:t>
      </w:r>
    </w:p>
    <w:p w:rsidR="00000000" w:rsidDel="00000000" w:rsidP="00000000" w:rsidRDefault="00000000" w:rsidRPr="00000000" w14:paraId="00000009">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Heilpern, our campaign lead, would welcome the opportunity to give oral evidence to the Committee. He has 21 years of experience as a Magistrate in NSW and one of the reasons for his resignation was the unfairness of these laws. </w:t>
      </w:r>
    </w:p>
    <w:p w:rsidR="00000000" w:rsidDel="00000000" w:rsidP="00000000" w:rsidRDefault="00000000" w:rsidRPr="00000000" w14:paraId="0000000A">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views are expressed in the attached blogs from drivechangemc.org.au – </w:t>
      </w:r>
    </w:p>
    <w:p w:rsidR="00000000" w:rsidDel="00000000" w:rsidP="00000000" w:rsidRDefault="00000000" w:rsidRPr="00000000" w14:paraId="0000000C">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Style w:val="Heading1"/>
        <w:keepNext w:val="0"/>
        <w:keepLines w:val="0"/>
        <w:numPr>
          <w:ilvl w:val="0"/>
          <w:numId w:val="3"/>
        </w:numPr>
        <w:spacing w:after="72" w:before="280" w:line="240" w:lineRule="auto"/>
        <w:ind w:left="144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Truth: Roadside Drug Testing Doesn’t Reduce Road Trauma </w:t>
      </w:r>
    </w:p>
    <w:p w:rsidR="00000000" w:rsidDel="00000000" w:rsidP="00000000" w:rsidRDefault="00000000" w:rsidRPr="00000000" w14:paraId="0000000E">
      <w:pPr>
        <w:pStyle w:val="Heading1"/>
        <w:keepNext w:val="0"/>
        <w:keepLines w:val="0"/>
        <w:numPr>
          <w:ilvl w:val="3"/>
          <w:numId w:val="3"/>
        </w:numPr>
        <w:spacing w:after="72" w:before="0" w:line="240" w:lineRule="auto"/>
        <w:ind w:left="2880" w:hanging="360"/>
        <w:rPr>
          <w:rFonts w:ascii="Times New Roman" w:cs="Times New Roman" w:eastAsia="Times New Roman" w:hAnsi="Times New Roman"/>
          <w:color w:val="222222"/>
          <w:sz w:val="24"/>
          <w:szCs w:val="24"/>
        </w:rPr>
      </w:pPr>
      <w:hyperlink r:id="rId6">
        <w:r w:rsidDel="00000000" w:rsidR="00000000" w:rsidRPr="00000000">
          <w:rPr>
            <w:rFonts w:ascii="Times New Roman" w:cs="Times New Roman" w:eastAsia="Times New Roman" w:hAnsi="Times New Roman"/>
            <w:color w:val="0563c1"/>
            <w:sz w:val="24"/>
            <w:szCs w:val="24"/>
            <w:u w:val="single"/>
            <w:rtl w:val="0"/>
          </w:rPr>
          <w:t xml:space="preserve">https://www.drivechangemc.org.au/the-truth-roadside-drug-testing-does-not-impact-road-trauma/</w:t>
        </w:r>
      </w:hyperlink>
      <w:r w:rsidDel="00000000" w:rsidR="00000000" w:rsidRPr="00000000">
        <w:rPr>
          <w:rtl w:val="0"/>
        </w:rPr>
      </w:r>
    </w:p>
    <w:p w:rsidR="00000000" w:rsidDel="00000000" w:rsidP="00000000" w:rsidRDefault="00000000" w:rsidRPr="00000000" w14:paraId="0000000F">
      <w:pPr>
        <w:pStyle w:val="Heading1"/>
        <w:keepNext w:val="0"/>
        <w:keepLines w:val="0"/>
        <w:numPr>
          <w:ilvl w:val="0"/>
          <w:numId w:val="3"/>
        </w:numPr>
        <w:spacing w:after="72" w:before="0" w:line="240" w:lineRule="auto"/>
        <w:ind w:left="144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How to argue with those who support drug driving testing</w:t>
      </w:r>
    </w:p>
    <w:p w:rsidR="00000000" w:rsidDel="00000000" w:rsidP="00000000" w:rsidRDefault="00000000" w:rsidRPr="00000000" w14:paraId="00000010">
      <w:pPr>
        <w:pStyle w:val="Heading1"/>
        <w:keepNext w:val="0"/>
        <w:keepLines w:val="0"/>
        <w:numPr>
          <w:ilvl w:val="3"/>
          <w:numId w:val="3"/>
        </w:numPr>
        <w:spacing w:after="72" w:before="0" w:line="240" w:lineRule="auto"/>
        <w:ind w:left="2880" w:hanging="360"/>
        <w:rPr>
          <w:rFonts w:ascii="Times New Roman" w:cs="Times New Roman" w:eastAsia="Times New Roman" w:hAnsi="Times New Roman"/>
          <w:color w:val="222222"/>
          <w:sz w:val="24"/>
          <w:szCs w:val="24"/>
        </w:rPr>
      </w:pPr>
      <w:hyperlink r:id="rId7">
        <w:r w:rsidDel="00000000" w:rsidR="00000000" w:rsidRPr="00000000">
          <w:rPr>
            <w:rFonts w:ascii="Times New Roman" w:cs="Times New Roman" w:eastAsia="Times New Roman" w:hAnsi="Times New Roman"/>
            <w:color w:val="0563c1"/>
            <w:sz w:val="24"/>
            <w:szCs w:val="24"/>
            <w:u w:val="single"/>
            <w:rtl w:val="0"/>
          </w:rPr>
          <w:t xml:space="preserve">https://www.drivechangemc.org.au/why-drug-driving-testing-is-wrong/</w:t>
        </w:r>
      </w:hyperlink>
      <w:r w:rsidDel="00000000" w:rsidR="00000000" w:rsidRPr="00000000">
        <w:rPr>
          <w:rtl w:val="0"/>
        </w:rPr>
      </w:r>
    </w:p>
    <w:p w:rsidR="00000000" w:rsidDel="00000000" w:rsidP="00000000" w:rsidRDefault="00000000" w:rsidRPr="00000000" w14:paraId="00000011">
      <w:pPr>
        <w:numPr>
          <w:ilvl w:val="0"/>
          <w:numId w:val="3"/>
        </w:numPr>
        <w:spacing w:line="240" w:lineRule="auto"/>
        <w:ind w:left="144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Scientific Research: Cannabis Vs Other Drugs &amp; Driving</w:t>
      </w:r>
    </w:p>
    <w:p w:rsidR="00000000" w:rsidDel="00000000" w:rsidP="00000000" w:rsidRDefault="00000000" w:rsidRPr="00000000" w14:paraId="00000012">
      <w:pPr>
        <w:numPr>
          <w:ilvl w:val="3"/>
          <w:numId w:val="1"/>
        </w:numPr>
        <w:spacing w:line="240" w:lineRule="auto"/>
        <w:ind w:left="2880" w:hanging="36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0563c1"/>
            <w:sz w:val="24"/>
            <w:szCs w:val="24"/>
            <w:u w:val="single"/>
            <w:rtl w:val="0"/>
          </w:rPr>
          <w:t xml:space="preserve">https://www.drivechangemc.org.au/cannabis-vs-other-drugs-driving-research/</w:t>
        </w:r>
      </w:hyperlink>
      <w:r w:rsidDel="00000000" w:rsidR="00000000" w:rsidRPr="00000000">
        <w:rPr>
          <w:rtl w:val="0"/>
        </w:rPr>
      </w:r>
    </w:p>
    <w:p w:rsidR="00000000" w:rsidDel="00000000" w:rsidP="00000000" w:rsidRDefault="00000000" w:rsidRPr="00000000" w14:paraId="00000013">
      <w:pPr>
        <w:pStyle w:val="Heading1"/>
        <w:keepNext w:val="0"/>
        <w:keepLines w:val="0"/>
        <w:numPr>
          <w:ilvl w:val="0"/>
          <w:numId w:val="3"/>
        </w:numPr>
        <w:spacing w:after="72" w:before="280" w:line="240" w:lineRule="auto"/>
        <w:ind w:left="144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How Other Countries Successfully Updated Drug Driving Laws for Medicinal Cannabis Patients (and How Australia Can Catch Up)</w:t>
      </w:r>
    </w:p>
    <w:p w:rsidR="00000000" w:rsidDel="00000000" w:rsidP="00000000" w:rsidRDefault="00000000" w:rsidRPr="00000000" w14:paraId="00000014">
      <w:pPr>
        <w:numPr>
          <w:ilvl w:val="3"/>
          <w:numId w:val="3"/>
        </w:numPr>
        <w:spacing w:line="240" w:lineRule="auto"/>
        <w:ind w:left="2880" w:hanging="36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0563c1"/>
            <w:sz w:val="24"/>
            <w:szCs w:val="24"/>
            <w:u w:val="single"/>
            <w:rtl w:val="0"/>
          </w:rPr>
          <w:t xml:space="preserve">https://www.drivechangemc.org.au/drug-driving-law-reform-abroad/</w:t>
        </w:r>
      </w:hyperlink>
      <w:r w:rsidDel="00000000" w:rsidR="00000000" w:rsidRPr="00000000">
        <w:rPr>
          <w:rtl w:val="0"/>
        </w:rPr>
      </w:r>
    </w:p>
    <w:p w:rsidR="00000000" w:rsidDel="00000000" w:rsidP="00000000" w:rsidRDefault="00000000" w:rsidRPr="00000000" w14:paraId="00000015">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urge the committee to conclude: </w:t>
      </w:r>
    </w:p>
    <w:p w:rsidR="00000000" w:rsidDel="00000000" w:rsidP="00000000" w:rsidRDefault="00000000" w:rsidRPr="00000000" w14:paraId="00000017">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is no evidence that the Bill would increase road trauma</w:t>
      </w:r>
    </w:p>
    <w:p w:rsidR="00000000" w:rsidDel="00000000" w:rsidP="00000000" w:rsidRDefault="00000000" w:rsidRPr="00000000" w14:paraId="00000019">
      <w:pPr>
        <w:numPr>
          <w:ilvl w:val="0"/>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is evidence to suggest those using other prescription drugs as an alternative to medicinal cannabis are at a greater risk to road safety.  </w:t>
      </w:r>
    </w:p>
    <w:p w:rsidR="00000000" w:rsidDel="00000000" w:rsidP="00000000" w:rsidRDefault="00000000" w:rsidRPr="00000000" w14:paraId="0000001A">
      <w:pPr>
        <w:numPr>
          <w:ilvl w:val="0"/>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current laws are discriminatory against prescription medicinal cannabis users</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numPr>
          <w:ilvl w:val="0"/>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Tasmanian model and other international examples exemplify that the Bill’s proposed amendments are tried and tested. </w:t>
      </w:r>
    </w:p>
    <w:p w:rsidR="00000000" w:rsidDel="00000000" w:rsidP="00000000" w:rsidRDefault="00000000" w:rsidRPr="00000000" w14:paraId="0000001E">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ind w:left="1440" w:firstLine="0"/>
        <w:rPr/>
      </w:pPr>
      <w:r w:rsidDel="00000000" w:rsidR="00000000" w:rsidRPr="00000000">
        <w:rPr>
          <w:rFonts w:ascii="Times New Roman" w:cs="Times New Roman" w:eastAsia="Times New Roman" w:hAnsi="Times New Roman"/>
          <w:sz w:val="24"/>
          <w:szCs w:val="24"/>
          <w:rtl w:val="0"/>
        </w:rPr>
        <w:t xml:space="preserve">Insurance</w:t>
      </w:r>
      <w:r w:rsidDel="00000000" w:rsidR="00000000" w:rsidRPr="00000000">
        <w:rPr>
          <w:rtl w:val="0"/>
        </w:rPr>
        <w:t xml:space="preserve">.</w:t>
      </w:r>
    </w:p>
    <w:p w:rsidR="00000000" w:rsidDel="00000000" w:rsidP="00000000" w:rsidRDefault="00000000" w:rsidRPr="00000000" w14:paraId="00000020">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who are currently driving with prescribed medicinal cannabis are not aware that in many cases their insurance is voided as a result. This is because the legal limit for THC is zero. </w:t>
      </w:r>
    </w:p>
    <w:p w:rsidR="00000000" w:rsidDel="00000000" w:rsidP="00000000" w:rsidRDefault="00000000" w:rsidRPr="00000000" w14:paraId="00000022">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the current QBE PDS for comprehensive car insurance at page 20 states: </w:t>
      </w:r>
    </w:p>
    <w:p w:rsidR="00000000" w:rsidDel="00000000" w:rsidP="00000000" w:rsidRDefault="00000000" w:rsidRPr="00000000" w14:paraId="00000024">
      <w:pPr>
        <w:spacing w:line="240"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cover if the driver of </w:t>
      </w:r>
      <w:r w:rsidDel="00000000" w:rsidR="00000000" w:rsidRPr="00000000">
        <w:rPr>
          <w:rFonts w:ascii="Times New Roman" w:cs="Times New Roman" w:eastAsia="Times New Roman" w:hAnsi="Times New Roman"/>
          <w:i w:val="1"/>
          <w:sz w:val="24"/>
          <w:szCs w:val="24"/>
          <w:rtl w:val="0"/>
        </w:rPr>
        <w:t xml:space="preserve">your car </w:t>
      </w:r>
      <w:r w:rsidDel="00000000" w:rsidR="00000000" w:rsidRPr="00000000">
        <w:rPr>
          <w:rFonts w:ascii="Times New Roman" w:cs="Times New Roman" w:eastAsia="Times New Roman" w:hAnsi="Times New Roman"/>
          <w:sz w:val="24"/>
          <w:szCs w:val="24"/>
          <w:rtl w:val="0"/>
        </w:rPr>
        <w:t xml:space="preserve">at the time of the </w:t>
      </w:r>
      <w:r w:rsidDel="00000000" w:rsidR="00000000" w:rsidRPr="00000000">
        <w:rPr>
          <w:rFonts w:ascii="Times New Roman" w:cs="Times New Roman" w:eastAsia="Times New Roman" w:hAnsi="Times New Roman"/>
          <w:i w:val="1"/>
          <w:sz w:val="24"/>
          <w:szCs w:val="24"/>
          <w:rtl w:val="0"/>
        </w:rPr>
        <w:t xml:space="preserve">incident </w:t>
      </w:r>
      <w:r w:rsidDel="00000000" w:rsidR="00000000" w:rsidRPr="00000000">
        <w:rPr>
          <w:rFonts w:ascii="Times New Roman" w:cs="Times New Roman" w:eastAsia="Times New Roman" w:hAnsi="Times New Roman"/>
          <w:sz w:val="24"/>
          <w:szCs w:val="24"/>
          <w:rtl w:val="0"/>
        </w:rPr>
        <w:t xml:space="preserve">was…driving when exceeding the legal limit for alcohol and/or a drug (including medication); </w:t>
      </w:r>
    </w:p>
    <w:p w:rsidR="00000000" w:rsidDel="00000000" w:rsidP="00000000" w:rsidRDefault="00000000" w:rsidRPr="00000000" w14:paraId="00000025">
      <w:pPr>
        <w:spacing w:line="240"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further example is that the current AAMI comprehensive car insurance PDS, at page 18 states: </w:t>
      </w:r>
    </w:p>
    <w:p w:rsidR="00000000" w:rsidDel="00000000" w:rsidP="00000000" w:rsidRDefault="00000000" w:rsidRPr="00000000" w14:paraId="00000027">
      <w:pPr>
        <w:spacing w:line="240"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not covered under any section of this policy for damage, loss, cost or legal liability that is caused by or arises from or involves…an incident occurring when your car is being driven by, or is in the charge of, anyone who…had more than the legal limit for alcohol or drugs in their breath, blood, saliva or urine as shown by analysis.</w:t>
      </w:r>
    </w:p>
    <w:p w:rsidR="00000000" w:rsidDel="00000000" w:rsidP="00000000" w:rsidRDefault="00000000" w:rsidRPr="00000000" w14:paraId="00000028">
      <w:pPr>
        <w:spacing w:line="240"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also Allianz PDS at page 23. </w:t>
      </w:r>
    </w:p>
    <w:p w:rsidR="00000000" w:rsidDel="00000000" w:rsidP="00000000" w:rsidRDefault="00000000" w:rsidRPr="00000000" w14:paraId="0000002A">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exceptions however the insured bears the onus of proving these. This also has implications for third parties who may not be able to recover against medicinal cannabis patients. </w:t>
      </w:r>
    </w:p>
    <w:p w:rsidR="00000000" w:rsidDel="00000000" w:rsidP="00000000" w:rsidRDefault="00000000" w:rsidRPr="00000000" w14:paraId="0000002C">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ind w:left="1440" w:firstLine="0"/>
        <w:rPr/>
      </w:pPr>
      <w:r w:rsidDel="00000000" w:rsidR="00000000" w:rsidRPr="00000000">
        <w:rPr>
          <w:rtl w:val="0"/>
        </w:rPr>
      </w:r>
    </w:p>
    <w:p w:rsidR="00000000" w:rsidDel="00000000" w:rsidP="00000000" w:rsidRDefault="00000000" w:rsidRPr="00000000" w14:paraId="00000035">
      <w:pPr>
        <w:ind w:left="1440" w:firstLine="0"/>
        <w:rPr/>
      </w:pPr>
      <w:r w:rsidDel="00000000" w:rsidR="00000000" w:rsidRPr="00000000">
        <w:rPr>
          <w:rtl w:val="0"/>
        </w:rPr>
      </w:r>
    </w:p>
    <w:sectPr>
      <w:headerReference r:id="rId10" w:type="default"/>
      <w:headerReference r:id="rId11" w:type="first"/>
      <w:footerReference r:id="rId12" w:type="default"/>
      <w:footerReference r:id="rId13" w:type="first"/>
      <w:pgSz w:h="16834" w:w="11909" w:orient="portrait"/>
      <w:pgMar w:bottom="1440" w:top="0" w:left="0" w:right="111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ind w:left="0" w:right="-1440" w:hanging="90"/>
      <w:rPr/>
    </w:pPr>
    <w:r w:rsidDel="00000000" w:rsidR="00000000" w:rsidRPr="00000000">
      <w:rPr/>
      <w:drawing>
        <wp:inline distB="114300" distT="114300" distL="114300" distR="114300">
          <wp:extent cx="7717536" cy="61556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17536" cy="615565"/>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ind w:left="0" w:firstLine="0"/>
      <w:rPr/>
    </w:pPr>
    <w:r w:rsidDel="00000000" w:rsidR="00000000" w:rsidRPr="00000000">
      <w:rPr/>
      <w:drawing>
        <wp:inline distB="114300" distT="114300" distL="114300" distR="114300">
          <wp:extent cx="7132320" cy="580775"/>
          <wp:effectExtent b="0" l="0" r="0" t="0"/>
          <wp:docPr id="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132320" cy="58077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spacing w:line="14.399999999999999" w:lineRule="auto"/>
      <w:ind w:left="-90" w:right="-1440" w:firstLine="0"/>
      <w:rPr>
        <w:sz w:val="2"/>
        <w:szCs w:val="2"/>
      </w:rPr>
    </w:pPr>
    <w:r w:rsidDel="00000000" w:rsidR="00000000" w:rsidRPr="00000000">
      <w:rPr>
        <w:sz w:val="2"/>
        <w:szCs w:val="2"/>
      </w:rPr>
      <w:drawing>
        <wp:inline distB="114300" distT="114300" distL="114300" distR="114300">
          <wp:extent cx="8053388" cy="658166"/>
          <wp:effectExtent b="0" l="0" r="0" t="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053388" cy="658166"/>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spacing w:line="165.6" w:lineRule="auto"/>
      <w:ind w:left="-90" w:right="-1455" w:firstLine="0"/>
      <w:rPr>
        <w:sz w:val="2"/>
        <w:szCs w:val="2"/>
      </w:rPr>
    </w:pPr>
    <w:r w:rsidDel="00000000" w:rsidR="00000000" w:rsidRPr="00000000">
      <w:rPr/>
      <w:drawing>
        <wp:inline distB="114300" distT="114300" distL="114300" distR="114300">
          <wp:extent cx="7717536" cy="203963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17536" cy="203963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rivechangemc.org.au/drug-driving-law-reform-abroad/" TargetMode="External"/><Relationship Id="rId5" Type="http://schemas.openxmlformats.org/officeDocument/2006/relationships/styles" Target="styles.xml"/><Relationship Id="rId6" Type="http://schemas.openxmlformats.org/officeDocument/2006/relationships/hyperlink" Target="https://www.drivechangemc.org.au/the-truth-roadside-drug-testing-does-not-impact-road-trauma/" TargetMode="External"/><Relationship Id="rId7" Type="http://schemas.openxmlformats.org/officeDocument/2006/relationships/hyperlink" Target="https://www.drivechangemc.org.au/why-drug-driving-testing-is-wrong/" TargetMode="External"/><Relationship Id="rId8" Type="http://schemas.openxmlformats.org/officeDocument/2006/relationships/hyperlink" Target="https://www.drivechangemc.org.au/cannabis-vs-other-drugs-driving-re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